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266EB" w14:paraId="2C1FB6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300" w:type="dxa"/>
              <w:left w:w="400" w:type="dxa"/>
              <w:bottom w:w="300" w:type="dxa"/>
              <w:right w:w="400" w:type="dxa"/>
            </w:tcMar>
          </w:tcPr>
          <w:p w14:paraId="4D04F867" w14:textId="77777777" w:rsidR="004266EB" w:rsidRDefault="00000000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B8924E"/>
              </w:rPr>
              <w:t>MyImmoScore</w:t>
            </w:r>
            <w:r>
              <w:rPr>
                <w:rFonts w:ascii="Arial" w:eastAsia="Arial" w:hAnsi="Arial" w:cs="Arial"/>
                <w:color w:val="CCCCCC"/>
              </w:rPr>
              <w:t xml:space="preserve">  ·</w:t>
            </w:r>
            <w:proofErr w:type="gramEnd"/>
            <w:r>
              <w:rPr>
                <w:rFonts w:ascii="Arial" w:eastAsia="Arial" w:hAnsi="Arial" w:cs="Arial"/>
                <w:color w:val="CCCCCC"/>
              </w:rPr>
              <w:t xml:space="preserve">  Checklist acheteur</w:t>
            </w:r>
          </w:p>
          <w:p w14:paraId="52BA6FF1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Formule SÉRÉNITÉ INVESTISSEUR — 199 €</w:t>
            </w:r>
          </w:p>
          <w:p w14:paraId="5565594D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AABBCC"/>
                <w:sz w:val="18"/>
                <w:szCs w:val="18"/>
              </w:rPr>
              <w:t>L'analyse la plus complète avec entretien personnalisé de 30 mn</w:t>
            </w:r>
          </w:p>
        </w:tc>
      </w:tr>
    </w:tbl>
    <w:p w14:paraId="57A019A1" w14:textId="77777777" w:rsidR="004266EB" w:rsidRDefault="004266EB"/>
    <w:p w14:paraId="340427E8" w14:textId="77777777" w:rsidR="004266EB" w:rsidRDefault="00000000">
      <w:pPr>
        <w:spacing w:after="300"/>
      </w:pPr>
      <w:r>
        <w:rPr>
          <w:rFonts w:ascii="Arial" w:eastAsia="Arial" w:hAnsi="Arial" w:cs="Arial"/>
          <w:i/>
          <w:iCs/>
          <w:color w:val="444444"/>
        </w:rPr>
        <w:t>Ce document accompagne votre analyse MyImmoScore. Il recense les éléments clés couverts par votre formule et les points de vigilance à surveiller avant de signer.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4266EB" w14:paraId="0A3945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B3F00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1E7BB0C5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✅ Tout le contenu de la formule Confort</w:t>
            </w:r>
          </w:p>
        </w:tc>
      </w:tr>
      <w:tr w:rsidR="004266EB" w14:paraId="25E6FA1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23DEABF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C638F4F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Marché / technique / confort / copropriété / négociation / avis analyste</w:t>
            </w:r>
          </w:p>
          <w:p w14:paraId="027D8F16" w14:textId="77777777" w:rsidR="004266EB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Voir détail formule Confort</w:t>
            </w:r>
          </w:p>
        </w:tc>
      </w:tr>
    </w:tbl>
    <w:p w14:paraId="2915EA14" w14:textId="77777777" w:rsidR="004266EB" w:rsidRDefault="004266EB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4266EB" w14:paraId="4DE024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B3F00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48C1CCF1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🗺️ Analyse du quartier approfondie</w:t>
            </w:r>
          </w:p>
        </w:tc>
      </w:tr>
      <w:tr w:rsidR="004266EB" w14:paraId="19E10C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AF556BD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10D64CF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Transports en commun et accessibilité</w:t>
            </w:r>
          </w:p>
        </w:tc>
      </w:tr>
      <w:tr w:rsidR="004266EB" w14:paraId="1A61D12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9963BAE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37C80B1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Services de proximité (commerces, médecins, mairie)</w:t>
            </w:r>
          </w:p>
        </w:tc>
      </w:tr>
      <w:tr w:rsidR="004266EB" w14:paraId="2B4013C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5A1B09E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7016302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Écoles et secteur scolaire</w:t>
            </w:r>
          </w:p>
        </w:tc>
      </w:tr>
      <w:tr w:rsidR="004266EB" w14:paraId="3FFD0CD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442864A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726A10C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Nuisances identifiées : chantiers, projets urbains à venir</w:t>
            </w:r>
          </w:p>
        </w:tc>
      </w:tr>
      <w:tr w:rsidR="004266EB" w14:paraId="69D2672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9E393BC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AA7937F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Plan Local d'Urbanisme (PLU) : zonage et constructibilité</w:t>
            </w:r>
          </w:p>
        </w:tc>
      </w:tr>
      <w:tr w:rsidR="004266EB" w14:paraId="3F7C3A3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47CCDC60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92F1D1A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Dynamisme démographique et attractivité de la commune</w:t>
            </w:r>
          </w:p>
        </w:tc>
      </w:tr>
    </w:tbl>
    <w:p w14:paraId="1BD18282" w14:textId="77777777" w:rsidR="004266EB" w:rsidRDefault="004266EB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4266EB" w14:paraId="4033C6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B3F00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4F886FBF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📊 Analyse investissement locatif</w:t>
            </w:r>
          </w:p>
        </w:tc>
      </w:tr>
      <w:tr w:rsidR="004266EB" w14:paraId="30614A5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D6287ED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8055A2C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Rendement brut et net estimé</w:t>
            </w:r>
          </w:p>
        </w:tc>
      </w:tr>
      <w:tr w:rsidR="004266EB" w14:paraId="3631CEF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F6DA4DA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C5A1058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 xml:space="preserve">Loyer de marché dans le secteur (références) </w:t>
            </w:r>
          </w:p>
        </w:tc>
      </w:tr>
      <w:tr w:rsidR="004266EB" w14:paraId="32B3C73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FDCDEA0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7556941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Tension locative locale (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142B4D"/>
              </w:rPr>
              <w:t>vacance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142B4D"/>
              </w:rPr>
              <w:t xml:space="preserve"> probable)</w:t>
            </w:r>
          </w:p>
        </w:tc>
      </w:tr>
      <w:tr w:rsidR="004266EB" w14:paraId="5D73A71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5EF6D31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D3CB835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Compatibilité LMNP / Pinel / nu selon le bien</w:t>
            </w:r>
          </w:p>
        </w:tc>
      </w:tr>
      <w:tr w:rsidR="004266EB" w14:paraId="3C6EC5D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8DCFA89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0843EED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Fiscalité applicable selon le régime envisagé</w:t>
            </w:r>
          </w:p>
        </w:tc>
      </w:tr>
      <w:tr w:rsidR="004266EB" w14:paraId="17653DC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0A7B3DA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CAB6C44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Cash-flow prévisionnel sur 12 mois</w:t>
            </w:r>
          </w:p>
        </w:tc>
      </w:tr>
    </w:tbl>
    <w:p w14:paraId="21FFCEC4" w14:textId="77777777" w:rsidR="004266EB" w:rsidRDefault="004266EB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4266EB" w14:paraId="7909D5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B3F00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6DABF603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💬 Stratégie de négociation complète</w:t>
            </w:r>
          </w:p>
        </w:tc>
      </w:tr>
      <w:tr w:rsidR="004266EB" w14:paraId="2CE3E64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95E5408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2CA7B2C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Stratégie de négociation multi-scénarios</w:t>
            </w:r>
          </w:p>
        </w:tc>
      </w:tr>
      <w:tr w:rsidR="004266EB" w14:paraId="55D181A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E071555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0CA23F0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Clauses suspensives recommandées</w:t>
            </w:r>
          </w:p>
        </w:tc>
      </w:tr>
      <w:tr w:rsidR="004266EB" w14:paraId="0EF8BA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167F135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B9D5CA9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Arguments spécifiques investisseur</w:t>
            </w:r>
          </w:p>
        </w:tc>
      </w:tr>
    </w:tbl>
    <w:p w14:paraId="7717AB1F" w14:textId="77777777" w:rsidR="004266EB" w:rsidRDefault="004266EB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4266EB" w14:paraId="1BD49D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B3F00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620CB04E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📞 Entretien de 30 mn avec votre analyste MyImmoScore</w:t>
            </w:r>
          </w:p>
        </w:tc>
      </w:tr>
      <w:tr w:rsidR="004266EB" w14:paraId="3D249C1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46B82476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15B972A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Échange téléphonique ou visio avec l'analyste en charge de votre dossier</w:t>
            </w:r>
          </w:p>
          <w:p w14:paraId="51C2E6FF" w14:textId="77777777" w:rsidR="004266EB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Planifié sous 48h après réception du rapport</w:t>
            </w:r>
          </w:p>
        </w:tc>
      </w:tr>
      <w:tr w:rsidR="004266EB" w14:paraId="10B79D7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40848422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lastRenderedPageBreak/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6CDD02A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Questions / réponses sur le rapport</w:t>
            </w:r>
          </w:p>
        </w:tc>
      </w:tr>
      <w:tr w:rsidR="004266EB" w14:paraId="0FF39D5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F21DA7D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0C7E6F3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Recommandations personnalisées selon votre stratégie d'investissement</w:t>
            </w:r>
          </w:p>
        </w:tc>
      </w:tr>
      <w:tr w:rsidR="004266EB" w14:paraId="28AE739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FE8F59F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72384E6" w14:textId="77777777" w:rsidR="004266EB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Aide à la formulation de l'offre</w:t>
            </w:r>
          </w:p>
        </w:tc>
      </w:tr>
    </w:tbl>
    <w:p w14:paraId="479525AC" w14:textId="77777777" w:rsidR="004266EB" w:rsidRDefault="004266EB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266EB" w14:paraId="17F058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DDDDDD"/>
              <w:left w:val="single" w:sz="12" w:space="0" w:color="B8924E"/>
              <w:bottom w:val="single" w:sz="1" w:space="0" w:color="DDDDDD"/>
              <w:right w:val="single" w:sz="1" w:space="0" w:color="DDDDDD"/>
            </w:tcBorders>
            <w:shd w:val="clear" w:color="auto" w:fill="FDF6EC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3FD30BB4" w14:textId="77777777" w:rsidR="004266EB" w:rsidRDefault="00000000">
            <w:pPr>
              <w:spacing w:after="200"/>
            </w:pPr>
            <w:r>
              <w:rPr>
                <w:rFonts w:ascii="Arial" w:eastAsia="Arial" w:hAnsi="Arial" w:cs="Arial"/>
                <w:b/>
                <w:bCs/>
                <w:color w:val="142B4D"/>
              </w:rPr>
              <w:t>Mes notes et questions à poser</w:t>
            </w:r>
          </w:p>
          <w:p w14:paraId="1E74D887" w14:textId="77777777" w:rsidR="004266EB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03A3683F" w14:textId="77777777" w:rsidR="004266EB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2EE2EB04" w14:textId="77777777" w:rsidR="004266EB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525EBFC9" w14:textId="77777777" w:rsidR="004266EB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</w:tc>
      </w:tr>
    </w:tbl>
    <w:p w14:paraId="7A8DDDC3" w14:textId="77777777" w:rsidR="004266EB" w:rsidRDefault="004266EB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266EB" w14:paraId="180A5E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F818CFC" w14:textId="77777777" w:rsidR="004266EB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Ce document est fourni à titre informatif. MyImmoScore est un service d'analyse indépendante. Nos rapports ne constituent pas une expertise immobilière réglementée ni un diagnostic officiel. L'acheteur reste seul responsable de sa décision d'achat.</w:t>
            </w:r>
          </w:p>
        </w:tc>
      </w:tr>
    </w:tbl>
    <w:p w14:paraId="60E60A6B" w14:textId="77777777" w:rsidR="00B97399" w:rsidRDefault="00B97399"/>
    <w:sectPr w:rsidR="00B97399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355AC"/>
    <w:multiLevelType w:val="hybridMultilevel"/>
    <w:tmpl w:val="3A8C830E"/>
    <w:lvl w:ilvl="0" w:tplc="35EAB858">
      <w:start w:val="1"/>
      <w:numFmt w:val="bullet"/>
      <w:lvlText w:val="●"/>
      <w:lvlJc w:val="left"/>
      <w:pPr>
        <w:ind w:left="720" w:hanging="360"/>
      </w:pPr>
    </w:lvl>
    <w:lvl w:ilvl="1" w:tplc="7744D422">
      <w:start w:val="1"/>
      <w:numFmt w:val="bullet"/>
      <w:lvlText w:val="○"/>
      <w:lvlJc w:val="left"/>
      <w:pPr>
        <w:ind w:left="1440" w:hanging="360"/>
      </w:pPr>
    </w:lvl>
    <w:lvl w:ilvl="2" w:tplc="AFF6F4E6">
      <w:start w:val="1"/>
      <w:numFmt w:val="bullet"/>
      <w:lvlText w:val="■"/>
      <w:lvlJc w:val="left"/>
      <w:pPr>
        <w:ind w:left="2160" w:hanging="360"/>
      </w:pPr>
    </w:lvl>
    <w:lvl w:ilvl="3" w:tplc="E438C87E">
      <w:start w:val="1"/>
      <w:numFmt w:val="bullet"/>
      <w:lvlText w:val="●"/>
      <w:lvlJc w:val="left"/>
      <w:pPr>
        <w:ind w:left="2880" w:hanging="360"/>
      </w:pPr>
    </w:lvl>
    <w:lvl w:ilvl="4" w:tplc="1946F130">
      <w:start w:val="1"/>
      <w:numFmt w:val="bullet"/>
      <w:lvlText w:val="○"/>
      <w:lvlJc w:val="left"/>
      <w:pPr>
        <w:ind w:left="3600" w:hanging="360"/>
      </w:pPr>
    </w:lvl>
    <w:lvl w:ilvl="5" w:tplc="5EB25706">
      <w:start w:val="1"/>
      <w:numFmt w:val="bullet"/>
      <w:lvlText w:val="■"/>
      <w:lvlJc w:val="left"/>
      <w:pPr>
        <w:ind w:left="4320" w:hanging="360"/>
      </w:pPr>
    </w:lvl>
    <w:lvl w:ilvl="6" w:tplc="062CFF62">
      <w:start w:val="1"/>
      <w:numFmt w:val="bullet"/>
      <w:lvlText w:val="●"/>
      <w:lvlJc w:val="left"/>
      <w:pPr>
        <w:ind w:left="5040" w:hanging="360"/>
      </w:pPr>
    </w:lvl>
    <w:lvl w:ilvl="7" w:tplc="009A8714">
      <w:start w:val="1"/>
      <w:numFmt w:val="bullet"/>
      <w:lvlText w:val="●"/>
      <w:lvlJc w:val="left"/>
      <w:pPr>
        <w:ind w:left="5760" w:hanging="360"/>
      </w:pPr>
    </w:lvl>
    <w:lvl w:ilvl="8" w:tplc="A84E521C">
      <w:start w:val="1"/>
      <w:numFmt w:val="bullet"/>
      <w:lvlText w:val="●"/>
      <w:lvlJc w:val="left"/>
      <w:pPr>
        <w:ind w:left="6480" w:hanging="360"/>
      </w:pPr>
    </w:lvl>
  </w:abstractNum>
  <w:num w:numId="1" w16cid:durableId="504515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6EB"/>
    <w:rsid w:val="003C63CB"/>
    <w:rsid w:val="004257E5"/>
    <w:rsid w:val="004266EB"/>
    <w:rsid w:val="00B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4484"/>
  <w15:docId w15:val="{EE44F646-83FE-483D-88EC-F29E1EBE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gwenael hamery</cp:lastModifiedBy>
  <cp:revision>2</cp:revision>
  <dcterms:created xsi:type="dcterms:W3CDTF">2026-06-19T13:55:00Z</dcterms:created>
  <dcterms:modified xsi:type="dcterms:W3CDTF">2026-06-19T13:55:00Z</dcterms:modified>
</cp:coreProperties>
</file>