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556CA9" w14:paraId="21B88A8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42B4D"/>
            <w:tcMar>
              <w:top w:w="300" w:type="dxa"/>
              <w:left w:w="400" w:type="dxa"/>
              <w:bottom w:w="300" w:type="dxa"/>
              <w:right w:w="400" w:type="dxa"/>
            </w:tcMar>
          </w:tcPr>
          <w:p w14:paraId="23D54207" w14:textId="77777777" w:rsidR="00556CA9" w:rsidRDefault="00000000">
            <w:pPr>
              <w:jc w:val="center"/>
            </w:pPr>
            <w:proofErr w:type="gramStart"/>
            <w:r>
              <w:rPr>
                <w:rFonts w:ascii="Arial" w:eastAsia="Arial" w:hAnsi="Arial" w:cs="Arial"/>
                <w:b/>
                <w:bCs/>
                <w:color w:val="B8924E"/>
              </w:rPr>
              <w:t>MyImmoScore</w:t>
            </w:r>
            <w:r>
              <w:rPr>
                <w:rFonts w:ascii="Arial" w:eastAsia="Arial" w:hAnsi="Arial" w:cs="Arial"/>
                <w:color w:val="CCCCCC"/>
              </w:rPr>
              <w:t xml:space="preserve">  ·</w:t>
            </w:r>
            <w:proofErr w:type="gramEnd"/>
            <w:r>
              <w:rPr>
                <w:rFonts w:ascii="Arial" w:eastAsia="Arial" w:hAnsi="Arial" w:cs="Arial"/>
                <w:color w:val="CCCCCC"/>
              </w:rPr>
              <w:t xml:space="preserve">  Checklist acheteur</w:t>
            </w:r>
          </w:p>
          <w:p w14:paraId="4752D90A" w14:textId="77777777" w:rsidR="00556CA9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32"/>
                <w:szCs w:val="32"/>
              </w:rPr>
              <w:t>Formule ESSENTIEL — 59 €</w:t>
            </w:r>
          </w:p>
          <w:p w14:paraId="505D2DF2" w14:textId="77777777" w:rsidR="00556CA9" w:rsidRDefault="00000000">
            <w:pPr>
              <w:jc w:val="center"/>
            </w:pPr>
            <w:r>
              <w:rPr>
                <w:rFonts w:ascii="Arial" w:eastAsia="Arial" w:hAnsi="Arial" w:cs="Arial"/>
                <w:i/>
                <w:iCs/>
                <w:color w:val="AABBCC"/>
                <w:sz w:val="18"/>
                <w:szCs w:val="18"/>
              </w:rPr>
              <w:t>Pour une première analyse rapide avant de faire votre offre d'achat</w:t>
            </w:r>
          </w:p>
        </w:tc>
      </w:tr>
    </w:tbl>
    <w:p w14:paraId="3FA779A5" w14:textId="77777777" w:rsidR="00556CA9" w:rsidRDefault="00556CA9"/>
    <w:p w14:paraId="16F27A8C" w14:textId="77777777" w:rsidR="00556CA9" w:rsidRDefault="00000000">
      <w:pPr>
        <w:spacing w:after="300"/>
      </w:pPr>
      <w:r>
        <w:rPr>
          <w:rFonts w:ascii="Arial" w:eastAsia="Arial" w:hAnsi="Arial" w:cs="Arial"/>
          <w:i/>
          <w:iCs/>
          <w:color w:val="444444"/>
        </w:rPr>
        <w:t>Ce document accompagne votre analyse MyImmoScore. Il recense les éléments clés couverts par votre formule et les points de vigilance à surveiller avant de signer.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8760"/>
      </w:tblGrid>
      <w:tr w:rsidR="00556CA9" w14:paraId="063302A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42B4D"/>
            <w:tcMar>
              <w:top w:w="120" w:type="dxa"/>
              <w:left w:w="300" w:type="dxa"/>
              <w:bottom w:w="120" w:type="dxa"/>
              <w:right w:w="300" w:type="dxa"/>
            </w:tcMar>
          </w:tcPr>
          <w:p w14:paraId="6F540AE6" w14:textId="77777777" w:rsidR="00556CA9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📊 Analyse du prix et du marché</w:t>
            </w:r>
          </w:p>
        </w:tc>
      </w:tr>
      <w:tr w:rsidR="00556CA9" w14:paraId="12785661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BF2FA"/>
            <w:tcMar>
              <w:top w:w="80" w:type="dxa"/>
              <w:left w:w="200" w:type="dxa"/>
              <w:bottom w:w="80" w:type="dxa"/>
              <w:right w:w="100" w:type="dxa"/>
            </w:tcMar>
            <w:vAlign w:val="center"/>
          </w:tcPr>
          <w:p w14:paraId="6DFAA10E" w14:textId="77777777" w:rsidR="00556CA9" w:rsidRDefault="00000000">
            <w:pPr>
              <w:jc w:val="center"/>
            </w:pPr>
            <w:r>
              <w:rPr>
                <w:rFonts w:ascii="Arial" w:eastAsia="Arial" w:hAnsi="Arial" w:cs="Arial"/>
                <w:color w:val="B8924E"/>
                <w:sz w:val="24"/>
                <w:szCs w:val="24"/>
              </w:rPr>
              <w:t>☐</w:t>
            </w:r>
          </w:p>
        </w:tc>
        <w:tc>
          <w:tcPr>
            <w:tcW w:w="87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BF2FA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430179BE" w14:textId="18C61125" w:rsidR="006745FB" w:rsidRDefault="00000000" w:rsidP="006745FB">
            <w:r>
              <w:rPr>
                <w:rFonts w:ascii="Arial" w:eastAsia="Arial" w:hAnsi="Arial" w:cs="Arial"/>
                <w:b/>
                <w:bCs/>
                <w:color w:val="142B4D"/>
              </w:rPr>
              <w:t xml:space="preserve">Comparaison prix / transactions récentes </w:t>
            </w:r>
            <w:r w:rsidR="006745FB">
              <w:rPr>
                <w:rFonts w:ascii="Arial" w:eastAsia="Arial" w:hAnsi="Arial" w:cs="Arial"/>
                <w:b/>
                <w:bCs/>
                <w:color w:val="142B4D"/>
              </w:rPr>
              <w:t>et analyse de l’annonce</w:t>
            </w:r>
          </w:p>
          <w:p w14:paraId="2AA837FB" w14:textId="3457C0C8" w:rsidR="00556CA9" w:rsidRDefault="00556CA9"/>
        </w:tc>
      </w:tr>
      <w:tr w:rsidR="00556CA9" w14:paraId="4D8E8AE5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200" w:type="dxa"/>
              <w:bottom w:w="80" w:type="dxa"/>
              <w:right w:w="100" w:type="dxa"/>
            </w:tcMar>
            <w:vAlign w:val="center"/>
          </w:tcPr>
          <w:p w14:paraId="2D967193" w14:textId="77777777" w:rsidR="00556CA9" w:rsidRDefault="00000000">
            <w:pPr>
              <w:jc w:val="center"/>
            </w:pPr>
            <w:r>
              <w:rPr>
                <w:rFonts w:ascii="Arial" w:eastAsia="Arial" w:hAnsi="Arial" w:cs="Arial"/>
                <w:color w:val="B8924E"/>
                <w:sz w:val="24"/>
                <w:szCs w:val="24"/>
              </w:rPr>
              <w:t>☐</w:t>
            </w:r>
          </w:p>
        </w:tc>
        <w:tc>
          <w:tcPr>
            <w:tcW w:w="87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7F8FDFED" w14:textId="77777777" w:rsidR="00556CA9" w:rsidRDefault="00000000">
            <w:r>
              <w:rPr>
                <w:rFonts w:ascii="Arial" w:eastAsia="Arial" w:hAnsi="Arial" w:cs="Arial"/>
                <w:b/>
                <w:bCs/>
                <w:color w:val="142B4D"/>
              </w:rPr>
              <w:t>Potentiel de négociation chiffré</w:t>
            </w:r>
          </w:p>
        </w:tc>
      </w:tr>
      <w:tr w:rsidR="00556CA9" w14:paraId="60B67BE0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BF2FA"/>
            <w:tcMar>
              <w:top w:w="80" w:type="dxa"/>
              <w:left w:w="200" w:type="dxa"/>
              <w:bottom w:w="80" w:type="dxa"/>
              <w:right w:w="100" w:type="dxa"/>
            </w:tcMar>
            <w:vAlign w:val="center"/>
          </w:tcPr>
          <w:p w14:paraId="70736082" w14:textId="77777777" w:rsidR="00556CA9" w:rsidRDefault="00000000">
            <w:pPr>
              <w:jc w:val="center"/>
            </w:pPr>
            <w:r>
              <w:rPr>
                <w:rFonts w:ascii="Arial" w:eastAsia="Arial" w:hAnsi="Arial" w:cs="Arial"/>
                <w:color w:val="B8924E"/>
                <w:sz w:val="24"/>
                <w:szCs w:val="24"/>
              </w:rPr>
              <w:t>☐</w:t>
            </w:r>
          </w:p>
        </w:tc>
        <w:tc>
          <w:tcPr>
            <w:tcW w:w="87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BF2FA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154A5BF5" w14:textId="77777777" w:rsidR="00556CA9" w:rsidRDefault="00000000">
            <w:r>
              <w:rPr>
                <w:rFonts w:ascii="Arial" w:eastAsia="Arial" w:hAnsi="Arial" w:cs="Arial"/>
                <w:b/>
                <w:bCs/>
                <w:color w:val="142B4D"/>
              </w:rPr>
              <w:t>Analyse de l'évolution du marché local</w:t>
            </w:r>
          </w:p>
        </w:tc>
      </w:tr>
      <w:tr w:rsidR="00556CA9" w14:paraId="1690B97E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200" w:type="dxa"/>
              <w:bottom w:w="80" w:type="dxa"/>
              <w:right w:w="100" w:type="dxa"/>
            </w:tcMar>
            <w:vAlign w:val="center"/>
          </w:tcPr>
          <w:p w14:paraId="53BB3137" w14:textId="77777777" w:rsidR="00556CA9" w:rsidRDefault="00000000">
            <w:pPr>
              <w:jc w:val="center"/>
            </w:pPr>
            <w:r>
              <w:rPr>
                <w:rFonts w:ascii="Arial" w:eastAsia="Arial" w:hAnsi="Arial" w:cs="Arial"/>
                <w:color w:val="B8924E"/>
                <w:sz w:val="24"/>
                <w:szCs w:val="24"/>
              </w:rPr>
              <w:t>☐</w:t>
            </w:r>
          </w:p>
        </w:tc>
        <w:tc>
          <w:tcPr>
            <w:tcW w:w="87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4F5BF9F3" w14:textId="77777777" w:rsidR="00556CA9" w:rsidRDefault="00000000">
            <w:r>
              <w:rPr>
                <w:rFonts w:ascii="Arial" w:eastAsia="Arial" w:hAnsi="Arial" w:cs="Arial"/>
                <w:b/>
                <w:bCs/>
                <w:color w:val="142B4D"/>
              </w:rPr>
              <w:t>Prix au m² comparé aux biens similaires</w:t>
            </w:r>
          </w:p>
        </w:tc>
      </w:tr>
    </w:tbl>
    <w:p w14:paraId="4928E4EC" w14:textId="77777777" w:rsidR="00556CA9" w:rsidRDefault="00556CA9">
      <w:pPr>
        <w:spacing w:after="2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8760"/>
      </w:tblGrid>
      <w:tr w:rsidR="00556CA9" w14:paraId="63D7DA3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42B4D"/>
            <w:tcMar>
              <w:top w:w="120" w:type="dxa"/>
              <w:left w:w="300" w:type="dxa"/>
              <w:bottom w:w="120" w:type="dxa"/>
              <w:right w:w="300" w:type="dxa"/>
            </w:tcMar>
          </w:tcPr>
          <w:p w14:paraId="40E31CE2" w14:textId="77777777" w:rsidR="00556CA9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🔍 Analyse des diagnostics</w:t>
            </w:r>
          </w:p>
        </w:tc>
      </w:tr>
      <w:tr w:rsidR="00556CA9" w14:paraId="3140DF5B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BF2FA"/>
            <w:tcMar>
              <w:top w:w="80" w:type="dxa"/>
              <w:left w:w="200" w:type="dxa"/>
              <w:bottom w:w="80" w:type="dxa"/>
              <w:right w:w="100" w:type="dxa"/>
            </w:tcMar>
            <w:vAlign w:val="center"/>
          </w:tcPr>
          <w:p w14:paraId="6ADAB708" w14:textId="77777777" w:rsidR="00556CA9" w:rsidRDefault="00000000">
            <w:pPr>
              <w:jc w:val="center"/>
            </w:pPr>
            <w:r>
              <w:rPr>
                <w:rFonts w:ascii="Arial" w:eastAsia="Arial" w:hAnsi="Arial" w:cs="Arial"/>
                <w:color w:val="B8924E"/>
                <w:sz w:val="24"/>
                <w:szCs w:val="24"/>
              </w:rPr>
              <w:t>☐</w:t>
            </w:r>
          </w:p>
        </w:tc>
        <w:tc>
          <w:tcPr>
            <w:tcW w:w="87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BF2FA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63ACAC4F" w14:textId="77777777" w:rsidR="00556CA9" w:rsidRDefault="00000000">
            <w:r>
              <w:rPr>
                <w:rFonts w:ascii="Arial" w:eastAsia="Arial" w:hAnsi="Arial" w:cs="Arial"/>
                <w:b/>
                <w:bCs/>
                <w:color w:val="142B4D"/>
              </w:rPr>
              <w:t>DPE — classe énergie et impact sur la valeur</w:t>
            </w:r>
          </w:p>
          <w:p w14:paraId="725B3D05" w14:textId="77777777" w:rsidR="00556CA9" w:rsidRDefault="00000000">
            <w:r>
              <w:rPr>
                <w:rFonts w:ascii="Arial" w:eastAsia="Arial" w:hAnsi="Arial" w:cs="Arial"/>
                <w:i/>
                <w:iCs/>
                <w:color w:val="666666"/>
                <w:sz w:val="18"/>
                <w:szCs w:val="18"/>
              </w:rPr>
              <w:t>Passoire thermique = travaux obligatoires à anticiper</w:t>
            </w:r>
          </w:p>
        </w:tc>
      </w:tr>
      <w:tr w:rsidR="00556CA9" w14:paraId="00B51A54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200" w:type="dxa"/>
              <w:bottom w:w="80" w:type="dxa"/>
              <w:right w:w="100" w:type="dxa"/>
            </w:tcMar>
            <w:vAlign w:val="center"/>
          </w:tcPr>
          <w:p w14:paraId="20C56753" w14:textId="77777777" w:rsidR="00556CA9" w:rsidRDefault="00000000">
            <w:pPr>
              <w:jc w:val="center"/>
            </w:pPr>
            <w:r>
              <w:rPr>
                <w:rFonts w:ascii="Arial" w:eastAsia="Arial" w:hAnsi="Arial" w:cs="Arial"/>
                <w:color w:val="B8924E"/>
                <w:sz w:val="24"/>
                <w:szCs w:val="24"/>
              </w:rPr>
              <w:t>☐</w:t>
            </w:r>
          </w:p>
        </w:tc>
        <w:tc>
          <w:tcPr>
            <w:tcW w:w="87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501996A5" w14:textId="77777777" w:rsidR="00556CA9" w:rsidRDefault="00000000">
            <w:r>
              <w:rPr>
                <w:rFonts w:ascii="Arial" w:eastAsia="Arial" w:hAnsi="Arial" w:cs="Arial"/>
                <w:b/>
                <w:bCs/>
                <w:color w:val="142B4D"/>
              </w:rPr>
              <w:t>Amiante, plomb, termites : risques identifiés</w:t>
            </w:r>
          </w:p>
        </w:tc>
      </w:tr>
      <w:tr w:rsidR="00556CA9" w14:paraId="4F6E9716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BF2FA"/>
            <w:tcMar>
              <w:top w:w="80" w:type="dxa"/>
              <w:left w:w="200" w:type="dxa"/>
              <w:bottom w:w="80" w:type="dxa"/>
              <w:right w:w="100" w:type="dxa"/>
            </w:tcMar>
            <w:vAlign w:val="center"/>
          </w:tcPr>
          <w:p w14:paraId="3EBFA896" w14:textId="77777777" w:rsidR="00556CA9" w:rsidRDefault="00000000">
            <w:pPr>
              <w:jc w:val="center"/>
            </w:pPr>
            <w:r>
              <w:rPr>
                <w:rFonts w:ascii="Arial" w:eastAsia="Arial" w:hAnsi="Arial" w:cs="Arial"/>
                <w:color w:val="B8924E"/>
                <w:sz w:val="24"/>
                <w:szCs w:val="24"/>
              </w:rPr>
              <w:t>☐</w:t>
            </w:r>
          </w:p>
        </w:tc>
        <w:tc>
          <w:tcPr>
            <w:tcW w:w="87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BF2FA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59B35271" w14:textId="77777777" w:rsidR="00556CA9" w:rsidRDefault="00000000">
            <w:r>
              <w:rPr>
                <w:rFonts w:ascii="Arial" w:eastAsia="Arial" w:hAnsi="Arial" w:cs="Arial"/>
                <w:b/>
                <w:bCs/>
                <w:color w:val="142B4D"/>
              </w:rPr>
              <w:t>Installation électrique et gaz : état signalé</w:t>
            </w:r>
          </w:p>
        </w:tc>
      </w:tr>
      <w:tr w:rsidR="00556CA9" w14:paraId="40B5C569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200" w:type="dxa"/>
              <w:bottom w:w="80" w:type="dxa"/>
              <w:right w:w="100" w:type="dxa"/>
            </w:tcMar>
            <w:vAlign w:val="center"/>
          </w:tcPr>
          <w:p w14:paraId="60A6FF42" w14:textId="77777777" w:rsidR="00556CA9" w:rsidRDefault="00000000">
            <w:pPr>
              <w:jc w:val="center"/>
            </w:pPr>
            <w:r>
              <w:rPr>
                <w:rFonts w:ascii="Arial" w:eastAsia="Arial" w:hAnsi="Arial" w:cs="Arial"/>
                <w:color w:val="B8924E"/>
                <w:sz w:val="24"/>
                <w:szCs w:val="24"/>
              </w:rPr>
              <w:t>☐</w:t>
            </w:r>
          </w:p>
        </w:tc>
        <w:tc>
          <w:tcPr>
            <w:tcW w:w="87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019B5FC5" w14:textId="77777777" w:rsidR="00556CA9" w:rsidRDefault="00000000">
            <w:r>
              <w:rPr>
                <w:rFonts w:ascii="Arial" w:eastAsia="Arial" w:hAnsi="Arial" w:cs="Arial"/>
                <w:b/>
                <w:bCs/>
                <w:color w:val="142B4D"/>
              </w:rPr>
              <w:t>Risques naturels et technologiques (ERNT)</w:t>
            </w:r>
          </w:p>
        </w:tc>
      </w:tr>
      <w:tr w:rsidR="00556CA9" w14:paraId="33AE7560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BF2FA"/>
            <w:tcMar>
              <w:top w:w="80" w:type="dxa"/>
              <w:left w:w="200" w:type="dxa"/>
              <w:bottom w:w="80" w:type="dxa"/>
              <w:right w:w="100" w:type="dxa"/>
            </w:tcMar>
            <w:vAlign w:val="center"/>
          </w:tcPr>
          <w:p w14:paraId="18631382" w14:textId="77777777" w:rsidR="00556CA9" w:rsidRDefault="00000000">
            <w:pPr>
              <w:jc w:val="center"/>
            </w:pPr>
            <w:r>
              <w:rPr>
                <w:rFonts w:ascii="Arial" w:eastAsia="Arial" w:hAnsi="Arial" w:cs="Arial"/>
                <w:color w:val="B8924E"/>
                <w:sz w:val="24"/>
                <w:szCs w:val="24"/>
              </w:rPr>
              <w:t>☐</w:t>
            </w:r>
          </w:p>
        </w:tc>
        <w:tc>
          <w:tcPr>
            <w:tcW w:w="87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BF2FA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2BF0104F" w14:textId="35E918C6" w:rsidR="00556CA9" w:rsidRDefault="00000000">
            <w:r>
              <w:rPr>
                <w:rFonts w:ascii="Arial" w:eastAsia="Arial" w:hAnsi="Arial" w:cs="Arial"/>
                <w:b/>
                <w:bCs/>
                <w:color w:val="142B4D"/>
              </w:rPr>
              <w:t xml:space="preserve">Superficie loi Carrez </w:t>
            </w:r>
          </w:p>
        </w:tc>
      </w:tr>
    </w:tbl>
    <w:p w14:paraId="46D9B313" w14:textId="77777777" w:rsidR="00556CA9" w:rsidRDefault="00556CA9">
      <w:pPr>
        <w:spacing w:after="2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8760"/>
      </w:tblGrid>
      <w:tr w:rsidR="00556CA9" w14:paraId="2B54E01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42B4D"/>
            <w:tcMar>
              <w:top w:w="120" w:type="dxa"/>
              <w:left w:w="300" w:type="dxa"/>
              <w:bottom w:w="120" w:type="dxa"/>
              <w:right w:w="300" w:type="dxa"/>
            </w:tcMar>
          </w:tcPr>
          <w:p w14:paraId="28B7B985" w14:textId="77777777" w:rsidR="00556CA9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🏢 Score et information de la copropriété</w:t>
            </w:r>
          </w:p>
        </w:tc>
      </w:tr>
      <w:tr w:rsidR="00556CA9" w14:paraId="1CEBDEC9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BF2FA"/>
            <w:tcMar>
              <w:top w:w="80" w:type="dxa"/>
              <w:left w:w="200" w:type="dxa"/>
              <w:bottom w:w="80" w:type="dxa"/>
              <w:right w:w="100" w:type="dxa"/>
            </w:tcMar>
            <w:vAlign w:val="center"/>
          </w:tcPr>
          <w:p w14:paraId="72256B61" w14:textId="77777777" w:rsidR="00556CA9" w:rsidRDefault="00000000">
            <w:pPr>
              <w:jc w:val="center"/>
            </w:pPr>
            <w:r>
              <w:rPr>
                <w:rFonts w:ascii="Arial" w:eastAsia="Arial" w:hAnsi="Arial" w:cs="Arial"/>
                <w:color w:val="B8924E"/>
                <w:sz w:val="24"/>
                <w:szCs w:val="24"/>
              </w:rPr>
              <w:t>☐</w:t>
            </w:r>
          </w:p>
        </w:tc>
        <w:tc>
          <w:tcPr>
            <w:tcW w:w="87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BF2FA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20955BB4" w14:textId="6945544B" w:rsidR="00556CA9" w:rsidRDefault="006745FB">
            <w:r>
              <w:rPr>
                <w:rFonts w:ascii="Arial" w:eastAsia="Arial" w:hAnsi="Arial" w:cs="Arial"/>
                <w:b/>
                <w:bCs/>
                <w:color w:val="142B4D"/>
              </w:rPr>
              <w:t>Score de la copropriété</w:t>
            </w:r>
          </w:p>
        </w:tc>
      </w:tr>
      <w:tr w:rsidR="00556CA9" w14:paraId="5271556D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200" w:type="dxa"/>
              <w:bottom w:w="80" w:type="dxa"/>
              <w:right w:w="100" w:type="dxa"/>
            </w:tcMar>
            <w:vAlign w:val="center"/>
          </w:tcPr>
          <w:p w14:paraId="1FCE890F" w14:textId="77777777" w:rsidR="00556CA9" w:rsidRDefault="00000000">
            <w:pPr>
              <w:jc w:val="center"/>
            </w:pPr>
            <w:r>
              <w:rPr>
                <w:rFonts w:ascii="Arial" w:eastAsia="Arial" w:hAnsi="Arial" w:cs="Arial"/>
                <w:color w:val="B8924E"/>
                <w:sz w:val="24"/>
                <w:szCs w:val="24"/>
              </w:rPr>
              <w:t>☐</w:t>
            </w:r>
          </w:p>
        </w:tc>
        <w:tc>
          <w:tcPr>
            <w:tcW w:w="87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516CB53A" w14:textId="2811933D" w:rsidR="00556CA9" w:rsidRDefault="00000000">
            <w:r>
              <w:rPr>
                <w:rFonts w:ascii="Arial" w:eastAsia="Arial" w:hAnsi="Arial" w:cs="Arial"/>
                <w:b/>
                <w:bCs/>
                <w:color w:val="142B4D"/>
              </w:rPr>
              <w:t>Travaux votés et à venir en assemblée</w:t>
            </w:r>
            <w:r w:rsidR="006745FB">
              <w:rPr>
                <w:rFonts w:ascii="Arial" w:eastAsia="Arial" w:hAnsi="Arial" w:cs="Arial"/>
                <w:b/>
                <w:bCs/>
                <w:color w:val="142B4D"/>
              </w:rPr>
              <w:t xml:space="preserve"> si disponible.</w:t>
            </w:r>
          </w:p>
        </w:tc>
      </w:tr>
      <w:tr w:rsidR="00556CA9" w14:paraId="159888E8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BF2FA"/>
            <w:tcMar>
              <w:top w:w="80" w:type="dxa"/>
              <w:left w:w="200" w:type="dxa"/>
              <w:bottom w:w="80" w:type="dxa"/>
              <w:right w:w="100" w:type="dxa"/>
            </w:tcMar>
            <w:vAlign w:val="center"/>
          </w:tcPr>
          <w:p w14:paraId="60E70AE4" w14:textId="77777777" w:rsidR="00556CA9" w:rsidRDefault="00000000">
            <w:pPr>
              <w:jc w:val="center"/>
            </w:pPr>
            <w:r>
              <w:rPr>
                <w:rFonts w:ascii="Arial" w:eastAsia="Arial" w:hAnsi="Arial" w:cs="Arial"/>
                <w:color w:val="B8924E"/>
                <w:sz w:val="24"/>
                <w:szCs w:val="24"/>
              </w:rPr>
              <w:t>☐</w:t>
            </w:r>
          </w:p>
        </w:tc>
        <w:tc>
          <w:tcPr>
            <w:tcW w:w="87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BF2FA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1A99B3EF" w14:textId="77777777" w:rsidR="00556CA9" w:rsidRDefault="00000000">
            <w:r>
              <w:rPr>
                <w:rFonts w:ascii="Arial" w:eastAsia="Arial" w:hAnsi="Arial" w:cs="Arial"/>
                <w:b/>
                <w:bCs/>
                <w:color w:val="142B4D"/>
              </w:rPr>
              <w:t>Fonds de travaux (loi Alur)</w:t>
            </w:r>
          </w:p>
        </w:tc>
      </w:tr>
      <w:tr w:rsidR="00556CA9" w14:paraId="71E9159D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200" w:type="dxa"/>
              <w:bottom w:w="80" w:type="dxa"/>
              <w:right w:w="100" w:type="dxa"/>
            </w:tcMar>
            <w:vAlign w:val="center"/>
          </w:tcPr>
          <w:p w14:paraId="17C8DEC9" w14:textId="77777777" w:rsidR="00556CA9" w:rsidRDefault="00000000">
            <w:pPr>
              <w:jc w:val="center"/>
            </w:pPr>
            <w:r>
              <w:rPr>
                <w:rFonts w:ascii="Arial" w:eastAsia="Arial" w:hAnsi="Arial" w:cs="Arial"/>
                <w:color w:val="B8924E"/>
                <w:sz w:val="24"/>
                <w:szCs w:val="24"/>
              </w:rPr>
              <w:t>☐</w:t>
            </w:r>
          </w:p>
        </w:tc>
        <w:tc>
          <w:tcPr>
            <w:tcW w:w="87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101788D5" w14:textId="77777777" w:rsidR="00556CA9" w:rsidRDefault="00000000">
            <w:r>
              <w:rPr>
                <w:rFonts w:ascii="Arial" w:eastAsia="Arial" w:hAnsi="Arial" w:cs="Arial"/>
                <w:b/>
                <w:bCs/>
                <w:color w:val="142B4D"/>
              </w:rPr>
              <w:t>Taux d'impayés et santé financière de la copro</w:t>
            </w:r>
          </w:p>
        </w:tc>
      </w:tr>
    </w:tbl>
    <w:p w14:paraId="15EF17C2" w14:textId="77777777" w:rsidR="00556CA9" w:rsidRDefault="00556CA9">
      <w:pPr>
        <w:spacing w:after="2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8760"/>
      </w:tblGrid>
      <w:tr w:rsidR="00556CA9" w14:paraId="11530DB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42B4D"/>
            <w:tcMar>
              <w:top w:w="120" w:type="dxa"/>
              <w:left w:w="300" w:type="dxa"/>
              <w:bottom w:w="120" w:type="dxa"/>
              <w:right w:w="300" w:type="dxa"/>
            </w:tcMar>
          </w:tcPr>
          <w:p w14:paraId="106F1A5D" w14:textId="77777777" w:rsidR="00556CA9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⚠️ Points d'alerte classés par gravité</w:t>
            </w:r>
          </w:p>
        </w:tc>
      </w:tr>
      <w:tr w:rsidR="00556CA9" w14:paraId="2721A735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BF2FA"/>
            <w:tcMar>
              <w:top w:w="80" w:type="dxa"/>
              <w:left w:w="200" w:type="dxa"/>
              <w:bottom w:w="80" w:type="dxa"/>
              <w:right w:w="100" w:type="dxa"/>
            </w:tcMar>
            <w:vAlign w:val="center"/>
          </w:tcPr>
          <w:p w14:paraId="3A412A13" w14:textId="77777777" w:rsidR="00556CA9" w:rsidRDefault="00000000">
            <w:pPr>
              <w:jc w:val="center"/>
            </w:pPr>
            <w:r>
              <w:rPr>
                <w:rFonts w:ascii="Arial" w:eastAsia="Arial" w:hAnsi="Arial" w:cs="Arial"/>
                <w:color w:val="B8924E"/>
                <w:sz w:val="24"/>
                <w:szCs w:val="24"/>
              </w:rPr>
              <w:t>☐</w:t>
            </w:r>
          </w:p>
        </w:tc>
        <w:tc>
          <w:tcPr>
            <w:tcW w:w="87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BF2FA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70F7EE85" w14:textId="77777777" w:rsidR="00556CA9" w:rsidRDefault="00000000">
            <w:r>
              <w:rPr>
                <w:rFonts w:ascii="Arial" w:eastAsia="Arial" w:hAnsi="Arial" w:cs="Arial"/>
                <w:b/>
                <w:bCs/>
                <w:color w:val="142B4D"/>
              </w:rPr>
              <w:t>Alertes critiques (bloquer ou renégocier)</w:t>
            </w:r>
          </w:p>
          <w:p w14:paraId="7286596D" w14:textId="454A5A36" w:rsidR="00556CA9" w:rsidRDefault="00556CA9"/>
        </w:tc>
      </w:tr>
      <w:tr w:rsidR="00556CA9" w14:paraId="5BCD298D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200" w:type="dxa"/>
              <w:bottom w:w="80" w:type="dxa"/>
              <w:right w:w="100" w:type="dxa"/>
            </w:tcMar>
            <w:vAlign w:val="center"/>
          </w:tcPr>
          <w:p w14:paraId="5118526D" w14:textId="77777777" w:rsidR="00556CA9" w:rsidRDefault="00000000">
            <w:pPr>
              <w:jc w:val="center"/>
            </w:pPr>
            <w:r>
              <w:rPr>
                <w:rFonts w:ascii="Arial" w:eastAsia="Arial" w:hAnsi="Arial" w:cs="Arial"/>
                <w:color w:val="B8924E"/>
                <w:sz w:val="24"/>
                <w:szCs w:val="24"/>
              </w:rPr>
              <w:t>☐</w:t>
            </w:r>
          </w:p>
        </w:tc>
        <w:tc>
          <w:tcPr>
            <w:tcW w:w="87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2D1F05F4" w14:textId="77777777" w:rsidR="00556CA9" w:rsidRDefault="00000000">
            <w:r>
              <w:rPr>
                <w:rFonts w:ascii="Arial" w:eastAsia="Arial" w:hAnsi="Arial" w:cs="Arial"/>
                <w:b/>
                <w:bCs/>
                <w:color w:val="142B4D"/>
              </w:rPr>
              <w:t>Points de vigilance (à surveiller)</w:t>
            </w:r>
          </w:p>
          <w:p w14:paraId="1A3419C4" w14:textId="5073954B" w:rsidR="00556CA9" w:rsidRDefault="00556CA9"/>
        </w:tc>
      </w:tr>
      <w:tr w:rsidR="00556CA9" w14:paraId="603DBDFA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BF2FA"/>
            <w:tcMar>
              <w:top w:w="80" w:type="dxa"/>
              <w:left w:w="200" w:type="dxa"/>
              <w:bottom w:w="80" w:type="dxa"/>
              <w:right w:w="100" w:type="dxa"/>
            </w:tcMar>
            <w:vAlign w:val="center"/>
          </w:tcPr>
          <w:p w14:paraId="68BFECA6" w14:textId="77777777" w:rsidR="00556CA9" w:rsidRDefault="00000000">
            <w:pPr>
              <w:jc w:val="center"/>
            </w:pPr>
            <w:r>
              <w:rPr>
                <w:rFonts w:ascii="Arial" w:eastAsia="Arial" w:hAnsi="Arial" w:cs="Arial"/>
                <w:color w:val="B8924E"/>
                <w:sz w:val="24"/>
                <w:szCs w:val="24"/>
              </w:rPr>
              <w:t>☐</w:t>
            </w:r>
          </w:p>
        </w:tc>
        <w:tc>
          <w:tcPr>
            <w:tcW w:w="87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BF2FA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25E681C2" w14:textId="77777777" w:rsidR="00556CA9" w:rsidRDefault="00000000">
            <w:r>
              <w:rPr>
                <w:rFonts w:ascii="Arial" w:eastAsia="Arial" w:hAnsi="Arial" w:cs="Arial"/>
                <w:b/>
                <w:bCs/>
                <w:color w:val="142B4D"/>
              </w:rPr>
              <w:t>Observations mineures</w:t>
            </w:r>
          </w:p>
          <w:p w14:paraId="170CC712" w14:textId="7D33499D" w:rsidR="00556CA9" w:rsidRDefault="00556CA9"/>
        </w:tc>
      </w:tr>
    </w:tbl>
    <w:p w14:paraId="3BAE01C1" w14:textId="77777777" w:rsidR="00556CA9" w:rsidRDefault="00556CA9">
      <w:pPr>
        <w:spacing w:after="2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8760"/>
      </w:tblGrid>
      <w:tr w:rsidR="00556CA9" w14:paraId="3A8B03C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42B4D"/>
            <w:tcMar>
              <w:top w:w="120" w:type="dxa"/>
              <w:left w:w="300" w:type="dxa"/>
              <w:bottom w:w="120" w:type="dxa"/>
              <w:right w:w="300" w:type="dxa"/>
            </w:tcMar>
          </w:tcPr>
          <w:p w14:paraId="1D860C1A" w14:textId="77777777" w:rsidR="00556CA9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✅ Synthèse et recommandation de l'analyste</w:t>
            </w:r>
          </w:p>
        </w:tc>
      </w:tr>
      <w:tr w:rsidR="00556CA9" w14:paraId="05C66C5D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BF2FA"/>
            <w:tcMar>
              <w:top w:w="80" w:type="dxa"/>
              <w:left w:w="200" w:type="dxa"/>
              <w:bottom w:w="80" w:type="dxa"/>
              <w:right w:w="100" w:type="dxa"/>
            </w:tcMar>
            <w:vAlign w:val="center"/>
          </w:tcPr>
          <w:p w14:paraId="021BF9CE" w14:textId="77777777" w:rsidR="00556CA9" w:rsidRDefault="00000000">
            <w:pPr>
              <w:jc w:val="center"/>
            </w:pPr>
            <w:r>
              <w:rPr>
                <w:rFonts w:ascii="Arial" w:eastAsia="Arial" w:hAnsi="Arial" w:cs="Arial"/>
                <w:color w:val="B8924E"/>
                <w:sz w:val="24"/>
                <w:szCs w:val="24"/>
              </w:rPr>
              <w:lastRenderedPageBreak/>
              <w:t>☐</w:t>
            </w:r>
          </w:p>
        </w:tc>
        <w:tc>
          <w:tcPr>
            <w:tcW w:w="87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BF2FA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064AFC87" w14:textId="77777777" w:rsidR="00556CA9" w:rsidRDefault="00000000">
            <w:r>
              <w:rPr>
                <w:rFonts w:ascii="Arial" w:eastAsia="Arial" w:hAnsi="Arial" w:cs="Arial"/>
                <w:b/>
                <w:bCs/>
                <w:color w:val="142B4D"/>
              </w:rPr>
              <w:t>Score global MyImmoScore du bien</w:t>
            </w:r>
          </w:p>
        </w:tc>
      </w:tr>
      <w:tr w:rsidR="00556CA9" w14:paraId="7BB58114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200" w:type="dxa"/>
              <w:bottom w:w="80" w:type="dxa"/>
              <w:right w:w="100" w:type="dxa"/>
            </w:tcMar>
            <w:vAlign w:val="center"/>
          </w:tcPr>
          <w:p w14:paraId="2837E16D" w14:textId="77777777" w:rsidR="00556CA9" w:rsidRDefault="00000000">
            <w:pPr>
              <w:jc w:val="center"/>
            </w:pPr>
            <w:r>
              <w:rPr>
                <w:rFonts w:ascii="Arial" w:eastAsia="Arial" w:hAnsi="Arial" w:cs="Arial"/>
                <w:color w:val="B8924E"/>
                <w:sz w:val="24"/>
                <w:szCs w:val="24"/>
              </w:rPr>
              <w:t>☐</w:t>
            </w:r>
          </w:p>
        </w:tc>
        <w:tc>
          <w:tcPr>
            <w:tcW w:w="87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02CFDF48" w14:textId="77777777" w:rsidR="00556CA9" w:rsidRDefault="00000000">
            <w:r>
              <w:rPr>
                <w:rFonts w:ascii="Arial" w:eastAsia="Arial" w:hAnsi="Arial" w:cs="Arial"/>
                <w:b/>
                <w:bCs/>
                <w:color w:val="142B4D"/>
              </w:rPr>
              <w:t>Recommandation claire : Signer / Négocier / Refuser</w:t>
            </w:r>
          </w:p>
        </w:tc>
      </w:tr>
      <w:tr w:rsidR="00556CA9" w14:paraId="41FC8839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BF2FA"/>
            <w:tcMar>
              <w:top w:w="80" w:type="dxa"/>
              <w:left w:w="200" w:type="dxa"/>
              <w:bottom w:w="80" w:type="dxa"/>
              <w:right w:w="100" w:type="dxa"/>
            </w:tcMar>
            <w:vAlign w:val="center"/>
          </w:tcPr>
          <w:p w14:paraId="7D25D7BF" w14:textId="77777777" w:rsidR="00556CA9" w:rsidRDefault="00000000">
            <w:pPr>
              <w:jc w:val="center"/>
            </w:pPr>
            <w:r>
              <w:rPr>
                <w:rFonts w:ascii="Arial" w:eastAsia="Arial" w:hAnsi="Arial" w:cs="Arial"/>
                <w:color w:val="B8924E"/>
                <w:sz w:val="24"/>
                <w:szCs w:val="24"/>
              </w:rPr>
              <w:t>☐</w:t>
            </w:r>
          </w:p>
        </w:tc>
        <w:tc>
          <w:tcPr>
            <w:tcW w:w="87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BF2FA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2FD2B87E" w14:textId="77777777" w:rsidR="00556CA9" w:rsidRDefault="00000000">
            <w:r>
              <w:rPr>
                <w:rFonts w:ascii="Arial" w:eastAsia="Arial" w:hAnsi="Arial" w:cs="Arial"/>
                <w:b/>
                <w:bCs/>
                <w:color w:val="142B4D"/>
              </w:rPr>
              <w:t>Synthèse rédigée par l'analyste</w:t>
            </w:r>
          </w:p>
        </w:tc>
      </w:tr>
    </w:tbl>
    <w:p w14:paraId="1002D35E" w14:textId="77777777" w:rsidR="00556CA9" w:rsidRDefault="00556CA9">
      <w:pPr>
        <w:spacing w:after="2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556CA9" w14:paraId="17670FF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DDDDDD"/>
              <w:left w:val="single" w:sz="12" w:space="0" w:color="B8924E"/>
              <w:bottom w:val="single" w:sz="1" w:space="0" w:color="DDDDDD"/>
              <w:right w:val="single" w:sz="1" w:space="0" w:color="DDDDDD"/>
            </w:tcBorders>
            <w:shd w:val="clear" w:color="auto" w:fill="FDF6EC"/>
            <w:tcMar>
              <w:top w:w="200" w:type="dxa"/>
              <w:left w:w="300" w:type="dxa"/>
              <w:bottom w:w="200" w:type="dxa"/>
              <w:right w:w="300" w:type="dxa"/>
            </w:tcMar>
          </w:tcPr>
          <w:p w14:paraId="57737CC3" w14:textId="77777777" w:rsidR="00556CA9" w:rsidRDefault="00000000">
            <w:pPr>
              <w:spacing w:after="200"/>
            </w:pPr>
            <w:r>
              <w:rPr>
                <w:rFonts w:ascii="Arial" w:eastAsia="Arial" w:hAnsi="Arial" w:cs="Arial"/>
                <w:b/>
                <w:bCs/>
                <w:color w:val="142B4D"/>
              </w:rPr>
              <w:t>Mes notes et questions à poser</w:t>
            </w:r>
          </w:p>
          <w:p w14:paraId="048626DA" w14:textId="77777777" w:rsidR="00556CA9" w:rsidRDefault="00000000">
            <w:r>
              <w:rPr>
                <w:rFonts w:ascii="Arial" w:eastAsia="Arial" w:hAnsi="Arial" w:cs="Arial"/>
                <w:color w:val="BBBBBB"/>
              </w:rPr>
              <w:t>_______________________________________________</w:t>
            </w:r>
          </w:p>
          <w:p w14:paraId="298D1CCA" w14:textId="77777777" w:rsidR="00556CA9" w:rsidRDefault="00000000">
            <w:r>
              <w:rPr>
                <w:rFonts w:ascii="Arial" w:eastAsia="Arial" w:hAnsi="Arial" w:cs="Arial"/>
                <w:color w:val="BBBBBB"/>
              </w:rPr>
              <w:t>_______________________________________________</w:t>
            </w:r>
          </w:p>
          <w:p w14:paraId="25962F93" w14:textId="77777777" w:rsidR="00556CA9" w:rsidRDefault="00000000">
            <w:r>
              <w:rPr>
                <w:rFonts w:ascii="Arial" w:eastAsia="Arial" w:hAnsi="Arial" w:cs="Arial"/>
                <w:color w:val="BBBBBB"/>
              </w:rPr>
              <w:t>_______________________________________________</w:t>
            </w:r>
          </w:p>
          <w:p w14:paraId="0DABEB1A" w14:textId="77777777" w:rsidR="00556CA9" w:rsidRDefault="00000000">
            <w:r>
              <w:rPr>
                <w:rFonts w:ascii="Arial" w:eastAsia="Arial" w:hAnsi="Arial" w:cs="Arial"/>
                <w:color w:val="BBBBBB"/>
              </w:rPr>
              <w:t>_______________________________________________</w:t>
            </w:r>
          </w:p>
        </w:tc>
      </w:tr>
    </w:tbl>
    <w:p w14:paraId="67DCA0E4" w14:textId="77777777" w:rsidR="00556CA9" w:rsidRDefault="00556CA9">
      <w:pPr>
        <w:spacing w:after="3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556CA9" w14:paraId="4715044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5F5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16153814" w14:textId="77777777" w:rsidR="00556CA9" w:rsidRDefault="00000000">
            <w:pPr>
              <w:jc w:val="center"/>
            </w:pPr>
            <w:r>
              <w:rPr>
                <w:rFonts w:ascii="Arial" w:eastAsia="Arial" w:hAnsi="Arial" w:cs="Arial"/>
                <w:i/>
                <w:iCs/>
                <w:color w:val="999999"/>
                <w:sz w:val="16"/>
                <w:szCs w:val="16"/>
              </w:rPr>
              <w:t>Ce document est fourni à titre informatif. MyImmoScore est un service d'analyse indépendante. Nos rapports ne constituent pas une expertise immobilière réglementée ni un diagnostic officiel. L'acheteur reste seul responsable de sa décision d'achat.</w:t>
            </w:r>
          </w:p>
        </w:tc>
      </w:tr>
    </w:tbl>
    <w:p w14:paraId="0C52B7D2" w14:textId="77777777" w:rsidR="00B964EF" w:rsidRDefault="00B964EF"/>
    <w:sectPr w:rsidR="00B964EF"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9F62A3"/>
    <w:multiLevelType w:val="hybridMultilevel"/>
    <w:tmpl w:val="F9B2C316"/>
    <w:lvl w:ilvl="0" w:tplc="AEE89E78">
      <w:start w:val="1"/>
      <w:numFmt w:val="bullet"/>
      <w:lvlText w:val="●"/>
      <w:lvlJc w:val="left"/>
      <w:pPr>
        <w:ind w:left="720" w:hanging="360"/>
      </w:pPr>
    </w:lvl>
    <w:lvl w:ilvl="1" w:tplc="E8885F92">
      <w:start w:val="1"/>
      <w:numFmt w:val="bullet"/>
      <w:lvlText w:val="○"/>
      <w:lvlJc w:val="left"/>
      <w:pPr>
        <w:ind w:left="1440" w:hanging="360"/>
      </w:pPr>
    </w:lvl>
    <w:lvl w:ilvl="2" w:tplc="DBFE34A4">
      <w:start w:val="1"/>
      <w:numFmt w:val="bullet"/>
      <w:lvlText w:val="■"/>
      <w:lvlJc w:val="left"/>
      <w:pPr>
        <w:ind w:left="2160" w:hanging="360"/>
      </w:pPr>
    </w:lvl>
    <w:lvl w:ilvl="3" w:tplc="D84677BC">
      <w:start w:val="1"/>
      <w:numFmt w:val="bullet"/>
      <w:lvlText w:val="●"/>
      <w:lvlJc w:val="left"/>
      <w:pPr>
        <w:ind w:left="2880" w:hanging="360"/>
      </w:pPr>
    </w:lvl>
    <w:lvl w:ilvl="4" w:tplc="D8A01EF6">
      <w:start w:val="1"/>
      <w:numFmt w:val="bullet"/>
      <w:lvlText w:val="○"/>
      <w:lvlJc w:val="left"/>
      <w:pPr>
        <w:ind w:left="3600" w:hanging="360"/>
      </w:pPr>
    </w:lvl>
    <w:lvl w:ilvl="5" w:tplc="2CF8A178">
      <w:start w:val="1"/>
      <w:numFmt w:val="bullet"/>
      <w:lvlText w:val="■"/>
      <w:lvlJc w:val="left"/>
      <w:pPr>
        <w:ind w:left="4320" w:hanging="360"/>
      </w:pPr>
    </w:lvl>
    <w:lvl w:ilvl="6" w:tplc="11EAA28C">
      <w:start w:val="1"/>
      <w:numFmt w:val="bullet"/>
      <w:lvlText w:val="●"/>
      <w:lvlJc w:val="left"/>
      <w:pPr>
        <w:ind w:left="5040" w:hanging="360"/>
      </w:pPr>
    </w:lvl>
    <w:lvl w:ilvl="7" w:tplc="654EC87A">
      <w:start w:val="1"/>
      <w:numFmt w:val="bullet"/>
      <w:lvlText w:val="●"/>
      <w:lvlJc w:val="left"/>
      <w:pPr>
        <w:ind w:left="5760" w:hanging="360"/>
      </w:pPr>
    </w:lvl>
    <w:lvl w:ilvl="8" w:tplc="A126AA48">
      <w:start w:val="1"/>
      <w:numFmt w:val="bullet"/>
      <w:lvlText w:val="●"/>
      <w:lvlJc w:val="left"/>
      <w:pPr>
        <w:ind w:left="6480" w:hanging="360"/>
      </w:pPr>
    </w:lvl>
  </w:abstractNum>
  <w:num w:numId="1" w16cid:durableId="183745770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CA9"/>
    <w:rsid w:val="003341A0"/>
    <w:rsid w:val="00556CA9"/>
    <w:rsid w:val="006745FB"/>
    <w:rsid w:val="00B964EF"/>
    <w:rsid w:val="00FE0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3F4F3"/>
  <w15:docId w15:val="{5300CA86-5B21-4F91-B9D1-616B6A153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re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re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1563</Characters>
  <Application>Microsoft Office Word</Application>
  <DocSecurity>0</DocSecurity>
  <Lines>67</Lines>
  <Paragraphs>62</Paragraphs>
  <ScaleCrop>false</ScaleCrop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gwenael hamery</cp:lastModifiedBy>
  <cp:revision>2</cp:revision>
  <dcterms:created xsi:type="dcterms:W3CDTF">2026-06-19T14:11:00Z</dcterms:created>
  <dcterms:modified xsi:type="dcterms:W3CDTF">2026-06-19T14:11:00Z</dcterms:modified>
</cp:coreProperties>
</file>